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2F2CFD8B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DF703B">
        <w:rPr>
          <w:rFonts w:ascii="Arial" w:hAnsi="Arial" w:cs="Arial"/>
          <w:b/>
          <w:sz w:val="24"/>
          <w:szCs w:val="28"/>
          <w:lang w:val="en-US"/>
        </w:rPr>
        <w:t>3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D6BE3">
        <w:rPr>
          <w:rFonts w:ascii="Arial" w:hAnsi="Arial" w:cs="Arial"/>
          <w:b/>
          <w:sz w:val="24"/>
          <w:szCs w:val="28"/>
          <w:lang w:val="en-US"/>
        </w:rPr>
        <w:t>15005</w:t>
      </w:r>
      <w:bookmarkStart w:id="0" w:name="_GoBack"/>
      <w:bookmarkEnd w:id="0"/>
    </w:p>
    <w:p w14:paraId="60407F1B" w14:textId="0C2EA4D3" w:rsidR="00CC6F36" w:rsidRPr="006D6BE3" w:rsidRDefault="00DF703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sv-SE"/>
        </w:rPr>
      </w:pPr>
      <w:r w:rsidRPr="006D6BE3">
        <w:rPr>
          <w:rFonts w:ascii="Arial" w:hAnsi="Arial" w:cs="Arial"/>
          <w:b/>
          <w:sz w:val="24"/>
          <w:szCs w:val="28"/>
          <w:lang w:val="sv-SE"/>
        </w:rPr>
        <w:t>Reno</w:t>
      </w:r>
      <w:r w:rsidR="00474662" w:rsidRPr="006D6BE3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6D6BE3">
        <w:rPr>
          <w:rFonts w:ascii="Arial" w:hAnsi="Arial" w:cs="Arial"/>
          <w:b/>
          <w:sz w:val="24"/>
          <w:szCs w:val="28"/>
          <w:lang w:val="sv-SE"/>
        </w:rPr>
        <w:t>USA</w:t>
      </w:r>
      <w:r w:rsidR="00CC6F36" w:rsidRPr="006D6BE3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6D6BE3">
        <w:rPr>
          <w:rFonts w:ascii="Arial" w:hAnsi="Arial" w:cs="Arial"/>
          <w:b/>
          <w:sz w:val="24"/>
          <w:szCs w:val="28"/>
          <w:lang w:val="sv-SE"/>
        </w:rPr>
        <w:t xml:space="preserve">November </w:t>
      </w:r>
      <w:r w:rsidR="00D21F95" w:rsidRPr="006D6BE3">
        <w:rPr>
          <w:rFonts w:ascii="Arial" w:hAnsi="Arial" w:cs="Arial"/>
          <w:b/>
          <w:sz w:val="24"/>
          <w:szCs w:val="28"/>
          <w:lang w:val="sv-SE"/>
        </w:rPr>
        <w:t>18</w:t>
      </w:r>
      <w:r w:rsidRPr="006D6BE3">
        <w:rPr>
          <w:rFonts w:ascii="Arial" w:hAnsi="Arial" w:cs="Arial"/>
          <w:b/>
          <w:sz w:val="24"/>
          <w:szCs w:val="28"/>
          <w:lang w:val="sv-SE"/>
        </w:rPr>
        <w:t>-22</w:t>
      </w:r>
      <w:r w:rsidR="00CC6F36" w:rsidRPr="006D6BE3">
        <w:rPr>
          <w:rFonts w:ascii="Arial" w:hAnsi="Arial" w:cs="Arial"/>
          <w:b/>
          <w:sz w:val="24"/>
          <w:szCs w:val="28"/>
          <w:lang w:val="sv-SE"/>
        </w:rPr>
        <w:t>, 201</w:t>
      </w:r>
      <w:r w:rsidR="00AA5EC6" w:rsidRPr="006D6BE3">
        <w:rPr>
          <w:rFonts w:ascii="Arial" w:hAnsi="Arial" w:cs="Arial"/>
          <w:b/>
          <w:sz w:val="24"/>
          <w:szCs w:val="28"/>
          <w:lang w:val="sv-SE"/>
        </w:rPr>
        <w:t>9</w:t>
      </w:r>
    </w:p>
    <w:p w14:paraId="25590F8B" w14:textId="38E8DF37" w:rsidR="00CC6F36" w:rsidRPr="006D6BE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sv-SE"/>
        </w:rPr>
      </w:pPr>
      <w:r w:rsidRPr="006D6BE3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6D6BE3">
        <w:rPr>
          <w:rFonts w:ascii="Arial" w:hAnsi="Arial" w:cs="Arial"/>
          <w:b/>
          <w:sz w:val="22"/>
          <w:szCs w:val="22"/>
          <w:lang w:val="sv-SE"/>
        </w:rPr>
        <w:tab/>
      </w:r>
      <w:r w:rsidR="006E65E2" w:rsidRPr="006D6BE3">
        <w:rPr>
          <w:rFonts w:ascii="Arial" w:hAnsi="Arial" w:cs="Arial"/>
          <w:sz w:val="22"/>
          <w:szCs w:val="22"/>
          <w:lang w:val="sv-SE"/>
        </w:rPr>
        <w:t>9.5.5.</w:t>
      </w:r>
      <w:r w:rsidR="00DF703B" w:rsidRPr="006D6BE3">
        <w:rPr>
          <w:rFonts w:ascii="Arial" w:hAnsi="Arial" w:cs="Arial"/>
          <w:sz w:val="22"/>
          <w:szCs w:val="22"/>
          <w:lang w:val="sv-SE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3755FDF9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AA2805">
        <w:rPr>
          <w:rFonts w:ascii="Arial" w:hAnsi="Arial" w:cs="Arial"/>
          <w:sz w:val="22"/>
          <w:szCs w:val="22"/>
        </w:rPr>
        <w:t>IAB-</w:t>
      </w:r>
      <w:r w:rsidR="00DF703B">
        <w:rPr>
          <w:rFonts w:ascii="Arial" w:hAnsi="Arial" w:cs="Arial"/>
          <w:sz w:val="22"/>
          <w:szCs w:val="22"/>
        </w:rPr>
        <w:t xml:space="preserve">MT Timing </w:t>
      </w:r>
      <w:r w:rsidR="00AA2805">
        <w:rPr>
          <w:rFonts w:ascii="Arial" w:hAnsi="Arial" w:cs="Arial"/>
          <w:sz w:val="22"/>
          <w:szCs w:val="22"/>
        </w:rPr>
        <w:t xml:space="preserve">related </w:t>
      </w:r>
      <w:r w:rsidR="00A42D9F" w:rsidRPr="00A42D9F">
        <w:rPr>
          <w:rFonts w:ascii="Arial" w:hAnsi="Arial" w:cs="Arial"/>
          <w:sz w:val="22"/>
          <w:szCs w:val="22"/>
        </w:rPr>
        <w:t>Requirement</w:t>
      </w:r>
      <w:r w:rsidR="00AA2805">
        <w:rPr>
          <w:rFonts w:ascii="Arial" w:hAnsi="Arial" w:cs="Arial"/>
          <w:sz w:val="22"/>
          <w:szCs w:val="22"/>
        </w:rPr>
        <w:t>s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4E09F4DC" w14:textId="77777777" w:rsidR="009C7EA1" w:rsidRPr="00EE3BD7" w:rsidRDefault="009828FE" w:rsidP="009C7EA1">
      <w:pPr>
        <w:spacing w:before="120" w:after="0"/>
        <w:rPr>
          <w:lang w:val="en-US"/>
        </w:rPr>
      </w:pPr>
      <w:r w:rsidRPr="00EE3BD7">
        <w:rPr>
          <w:lang w:val="en-US"/>
        </w:rPr>
        <w:t>In RAN4</w:t>
      </w:r>
      <w:r w:rsidR="00087C28" w:rsidRPr="00EE3BD7">
        <w:rPr>
          <w:lang w:val="en-US"/>
        </w:rPr>
        <w:t>#9</w:t>
      </w:r>
      <w:r w:rsidR="00185594" w:rsidRPr="00EE3BD7">
        <w:rPr>
          <w:lang w:val="en-US"/>
        </w:rPr>
        <w:t>2</w:t>
      </w:r>
      <w:r w:rsidR="00016F6F" w:rsidRPr="00EE3BD7">
        <w:rPr>
          <w:lang w:val="en-US"/>
        </w:rPr>
        <w:t>bis meeting</w:t>
      </w:r>
      <w:r w:rsidR="00087C28" w:rsidRPr="00EE3BD7">
        <w:rPr>
          <w:lang w:val="en-US"/>
        </w:rPr>
        <w:t xml:space="preserve"> </w:t>
      </w:r>
      <w:r w:rsidR="0032110B" w:rsidRPr="00EE3BD7">
        <w:rPr>
          <w:lang w:val="en-US"/>
        </w:rPr>
        <w:t xml:space="preserve">the WF </w:t>
      </w:r>
      <w:r w:rsidR="00016F6F" w:rsidRPr="00EE3BD7">
        <w:rPr>
          <w:lang w:val="en-US"/>
        </w:rPr>
        <w:t xml:space="preserve">on </w:t>
      </w:r>
      <w:r w:rsidR="0032110B" w:rsidRPr="00EE3BD7">
        <w:rPr>
          <w:lang w:val="en-US"/>
        </w:rPr>
        <w:t>RRM requirements</w:t>
      </w:r>
      <w:r w:rsidR="00C50450" w:rsidRPr="00EE3BD7">
        <w:rPr>
          <w:lang w:val="en-US"/>
        </w:rPr>
        <w:t xml:space="preserve"> </w:t>
      </w:r>
      <w:r w:rsidR="00016F6F" w:rsidRPr="00EE3BD7">
        <w:rPr>
          <w:lang w:val="en-US"/>
        </w:rPr>
        <w:t xml:space="preserve">for IAB </w:t>
      </w:r>
      <w:r w:rsidR="00087C28" w:rsidRPr="00EE3BD7">
        <w:rPr>
          <w:lang w:val="en-US"/>
        </w:rPr>
        <w:t xml:space="preserve">was approved </w:t>
      </w:r>
      <w:r w:rsidR="00C50450" w:rsidRPr="00EE3BD7">
        <w:rPr>
          <w:lang w:val="en-US"/>
        </w:rPr>
        <w:t>[</w:t>
      </w:r>
      <w:r w:rsidR="00087C28" w:rsidRPr="00EE3BD7">
        <w:rPr>
          <w:lang w:val="en-US"/>
        </w:rPr>
        <w:t>1</w:t>
      </w:r>
      <w:r w:rsidR="00C50450" w:rsidRPr="00EE3BD7">
        <w:rPr>
          <w:lang w:val="en-US"/>
        </w:rPr>
        <w:t>]</w:t>
      </w:r>
      <w:r w:rsidR="009C7EA1" w:rsidRPr="00EE3BD7">
        <w:rPr>
          <w:lang w:val="en-US"/>
        </w:rPr>
        <w:t xml:space="preserve">. </w:t>
      </w:r>
    </w:p>
    <w:p w14:paraId="19D41B29" w14:textId="27991BB0" w:rsidR="00016F6F" w:rsidRPr="00EE3BD7" w:rsidRDefault="009C7EA1" w:rsidP="009C7EA1">
      <w:pPr>
        <w:spacing w:before="120" w:after="0"/>
        <w:rPr>
          <w:lang w:val="en-US"/>
        </w:rPr>
      </w:pPr>
      <w:r w:rsidRPr="00EE3BD7">
        <w:rPr>
          <w:lang w:val="en-US"/>
        </w:rPr>
        <w:t xml:space="preserve">According to the WF the following requirements will be specified for IAB. </w:t>
      </w:r>
      <w:proofErr w:type="gramStart"/>
      <w:r w:rsidRPr="00EE3BD7">
        <w:rPr>
          <w:lang w:val="en-US"/>
        </w:rPr>
        <w:t>With the exception of</w:t>
      </w:r>
      <w:proofErr w:type="gramEnd"/>
      <w:r w:rsidRPr="00EE3BD7">
        <w:rPr>
          <w:lang w:val="en-US"/>
        </w:rPr>
        <w:t xml:space="preserve"> the last requirement (cell phase sync), the details of these requirements need further discussion.</w:t>
      </w:r>
    </w:p>
    <w:p w14:paraId="6A8920FF" w14:textId="77777777" w:rsidR="00016F6F" w:rsidRPr="00EE3BD7" w:rsidRDefault="00016F6F" w:rsidP="009C7EA1">
      <w:pPr>
        <w:pStyle w:val="BodyText"/>
        <w:numPr>
          <w:ilvl w:val="0"/>
          <w:numId w:val="49"/>
        </w:numPr>
        <w:spacing w:before="120" w:after="0"/>
        <w:rPr>
          <w:lang w:val="en-US"/>
        </w:rPr>
      </w:pPr>
      <w:r w:rsidRPr="00EE3BD7">
        <w:rPr>
          <w:lang w:val="en-US"/>
        </w:rPr>
        <w:t>RRC re-establishment</w:t>
      </w:r>
    </w:p>
    <w:p w14:paraId="29C3D63E" w14:textId="77777777" w:rsidR="00016F6F" w:rsidRPr="00EE3BD7" w:rsidRDefault="00016F6F" w:rsidP="009C7EA1">
      <w:pPr>
        <w:pStyle w:val="BodyText"/>
        <w:numPr>
          <w:ilvl w:val="0"/>
          <w:numId w:val="49"/>
        </w:numPr>
        <w:spacing w:before="120" w:after="0"/>
        <w:rPr>
          <w:lang w:val="en-US"/>
        </w:rPr>
      </w:pPr>
      <w:r w:rsidRPr="00EE3BD7">
        <w:rPr>
          <w:lang w:val="en-US"/>
        </w:rPr>
        <w:t>Random access</w:t>
      </w:r>
    </w:p>
    <w:p w14:paraId="384FBEA9" w14:textId="0016F37D" w:rsidR="00016F6F" w:rsidRPr="00EE3BD7" w:rsidRDefault="00016F6F" w:rsidP="009C7EA1">
      <w:pPr>
        <w:pStyle w:val="BodyText"/>
        <w:numPr>
          <w:ilvl w:val="0"/>
          <w:numId w:val="49"/>
        </w:numPr>
        <w:spacing w:before="120" w:after="0"/>
        <w:rPr>
          <w:lang w:val="en-US"/>
        </w:rPr>
      </w:pPr>
      <w:r w:rsidRPr="00EE3BD7">
        <w:rPr>
          <w:lang w:val="en-US"/>
        </w:rPr>
        <w:t>RRC release with redirection</w:t>
      </w:r>
    </w:p>
    <w:p w14:paraId="4A2BE042" w14:textId="7D562E2B" w:rsidR="00FD6703" w:rsidRPr="00FD6703" w:rsidRDefault="00FD6703" w:rsidP="009C7EA1">
      <w:pPr>
        <w:pStyle w:val="BodyText"/>
        <w:numPr>
          <w:ilvl w:val="0"/>
          <w:numId w:val="49"/>
        </w:numPr>
        <w:spacing w:before="120" w:after="0"/>
        <w:rPr>
          <w:lang w:val="en-US"/>
        </w:rPr>
      </w:pPr>
      <w:r w:rsidRPr="00FD6703">
        <w:rPr>
          <w:lang w:val="en-US"/>
        </w:rPr>
        <w:t>MT transmit timing (</w:t>
      </w:r>
      <w:proofErr w:type="spellStart"/>
      <w:r w:rsidRPr="00FD6703">
        <w:rPr>
          <w:lang w:val="en-US"/>
        </w:rPr>
        <w:t>Te</w:t>
      </w:r>
      <w:proofErr w:type="spellEnd"/>
      <w:r w:rsidRPr="00FD6703">
        <w:rPr>
          <w:lang w:val="en-US"/>
        </w:rPr>
        <w:t xml:space="preserve"> and </w:t>
      </w:r>
      <w:proofErr w:type="spellStart"/>
      <w:r w:rsidRPr="00FD6703">
        <w:rPr>
          <w:lang w:val="en-US"/>
        </w:rPr>
        <w:t>Tq</w:t>
      </w:r>
      <w:proofErr w:type="spellEnd"/>
      <w:r w:rsidRPr="00FD6703">
        <w:rPr>
          <w:lang w:val="en-US"/>
        </w:rPr>
        <w:t>)</w:t>
      </w:r>
      <w:r w:rsidR="006E65E2">
        <w:rPr>
          <w:lang w:val="en-US"/>
        </w:rPr>
        <w:t>s</w:t>
      </w:r>
    </w:p>
    <w:p w14:paraId="73CB0E25" w14:textId="49F5F6E7" w:rsidR="00FD6703" w:rsidRPr="00EE3BD7" w:rsidRDefault="00FD6703" w:rsidP="009C7EA1">
      <w:pPr>
        <w:pStyle w:val="BodyText"/>
        <w:numPr>
          <w:ilvl w:val="0"/>
          <w:numId w:val="49"/>
        </w:numPr>
        <w:spacing w:before="120" w:after="0"/>
        <w:rPr>
          <w:lang w:val="en-US"/>
        </w:rPr>
      </w:pPr>
      <w:r w:rsidRPr="00EE3BD7">
        <w:rPr>
          <w:lang w:val="en-US"/>
        </w:rPr>
        <w:t>Timing Advance</w:t>
      </w:r>
    </w:p>
    <w:p w14:paraId="7C0DC81E" w14:textId="6F0376E2" w:rsidR="00FD6703" w:rsidRPr="00EE3BD7" w:rsidRDefault="006E5328" w:rsidP="009C7EA1">
      <w:pPr>
        <w:pStyle w:val="BodyText"/>
        <w:numPr>
          <w:ilvl w:val="0"/>
          <w:numId w:val="49"/>
        </w:numPr>
        <w:spacing w:before="120" w:after="0"/>
        <w:rPr>
          <w:lang w:val="en-US"/>
        </w:rPr>
      </w:pPr>
      <w:r w:rsidRPr="00EE3BD7">
        <w:rPr>
          <w:lang w:val="en-US"/>
        </w:rPr>
        <w:t>DU timing requirements: cell phase sync = 3 us</w:t>
      </w:r>
    </w:p>
    <w:p w14:paraId="010F8CF9" w14:textId="00556551" w:rsidR="00866CC5" w:rsidRPr="00EE3BD7" w:rsidRDefault="00866CC5" w:rsidP="008F549F">
      <w:pPr>
        <w:spacing w:before="240" w:after="0"/>
        <w:rPr>
          <w:lang w:val="en-US"/>
        </w:rPr>
      </w:pPr>
      <w:r w:rsidRPr="00EE3BD7">
        <w:rPr>
          <w:lang w:val="en-US"/>
        </w:rPr>
        <w:t>In this paper we provide further analysis on the</w:t>
      </w:r>
      <w:r>
        <w:rPr>
          <w:lang w:val="en-US"/>
        </w:rPr>
        <w:t xml:space="preserve"> </w:t>
      </w:r>
      <w:r w:rsidRPr="00EE3BD7">
        <w:rPr>
          <w:lang w:val="en-US"/>
        </w:rPr>
        <w:t xml:space="preserve">requirement </w:t>
      </w:r>
      <w:r>
        <w:rPr>
          <w:lang w:val="en-US"/>
        </w:rPr>
        <w:t xml:space="preserve">related to the </w:t>
      </w:r>
      <w:r w:rsidR="00484778">
        <w:rPr>
          <w:lang w:val="en-US"/>
        </w:rPr>
        <w:t xml:space="preserve">transmit timing of the IAB-MT </w:t>
      </w:r>
      <w:r w:rsidRPr="00EE3BD7">
        <w:rPr>
          <w:lang w:val="en-US"/>
        </w:rPr>
        <w:t>which</w:t>
      </w:r>
      <w:r>
        <w:rPr>
          <w:lang w:val="en-US"/>
        </w:rPr>
        <w:t xml:space="preserve"> were </w:t>
      </w:r>
      <w:r w:rsidRPr="00EE3BD7">
        <w:rPr>
          <w:lang w:val="en-US"/>
        </w:rPr>
        <w:t xml:space="preserve">agreed to be introduced in the specification. </w:t>
      </w:r>
    </w:p>
    <w:p w14:paraId="6343CBEA" w14:textId="157A3822" w:rsidR="00F377FF" w:rsidRDefault="00DE064F" w:rsidP="004B2CE4">
      <w:pPr>
        <w:pStyle w:val="Heading1"/>
        <w:numPr>
          <w:ilvl w:val="0"/>
          <w:numId w:val="25"/>
        </w:numPr>
        <w:spacing w:before="360" w:after="0"/>
        <w:ind w:left="357" w:hanging="357"/>
      </w:pPr>
      <w:r>
        <w:t>Analysis of</w:t>
      </w:r>
      <w:r w:rsidR="00535498">
        <w:t xml:space="preserve"> </w:t>
      </w:r>
      <w:r w:rsidR="008F0D52">
        <w:t xml:space="preserve">IAB-MT timing </w:t>
      </w:r>
      <w:r>
        <w:t>requirement</w:t>
      </w:r>
      <w:r w:rsidR="00E1469A">
        <w:t xml:space="preserve"> </w:t>
      </w:r>
      <w:r w:rsidR="00013D9A">
        <w:t>agreed for IAB</w:t>
      </w:r>
    </w:p>
    <w:p w14:paraId="01DD2BC1" w14:textId="2FB84EE9" w:rsidR="00B3365C" w:rsidRDefault="00E2059D" w:rsidP="00B3365C">
      <w:pPr>
        <w:spacing w:before="240" w:after="120"/>
      </w:pPr>
      <w:r>
        <w:t xml:space="preserve">The requirements related to the IAB-MT </w:t>
      </w:r>
      <w:r w:rsidR="00114FAB">
        <w:t xml:space="preserve">transmit </w:t>
      </w:r>
      <w:r>
        <w:t>timing requirements comprise the following:</w:t>
      </w:r>
    </w:p>
    <w:p w14:paraId="34313D6C" w14:textId="4B9A271C" w:rsidR="00B3365C" w:rsidRDefault="00B3365C" w:rsidP="00B3365C">
      <w:pPr>
        <w:pStyle w:val="Heading2"/>
      </w:pPr>
      <w:r>
        <w:t xml:space="preserve">2.1. </w:t>
      </w:r>
      <w:r w:rsidR="004D59A5" w:rsidRPr="00114FAB">
        <w:t xml:space="preserve">MT transmit timing </w:t>
      </w:r>
      <w:r w:rsidR="006B31EC">
        <w:t>accuracy and auton</w:t>
      </w:r>
      <w:r>
        <w:t xml:space="preserve">omous </w:t>
      </w:r>
      <w:r w:rsidR="005204C1">
        <w:t xml:space="preserve">timing </w:t>
      </w:r>
      <w:r>
        <w:t>adjustment</w:t>
      </w:r>
    </w:p>
    <w:p w14:paraId="4C4188D4" w14:textId="04672484" w:rsidR="00114FAB" w:rsidRPr="00B3365C" w:rsidRDefault="00B3365C" w:rsidP="00F859A5">
      <w:pPr>
        <w:spacing w:before="120" w:after="0"/>
      </w:pPr>
      <w:r w:rsidRPr="00B3365C">
        <w:t xml:space="preserve">The existing UE timing requirements comprise </w:t>
      </w:r>
      <w:r>
        <w:t>the initial transmit timing error (</w:t>
      </w:r>
      <w:proofErr w:type="spellStart"/>
      <w:r w:rsidR="004D59A5" w:rsidRPr="00B3365C">
        <w:t>Te</w:t>
      </w:r>
      <w:proofErr w:type="spellEnd"/>
      <w:r>
        <w:t>)</w:t>
      </w:r>
      <w:r w:rsidR="004D59A5" w:rsidRPr="00B3365C">
        <w:t xml:space="preserve"> and </w:t>
      </w:r>
      <w:r>
        <w:t xml:space="preserve">the autonomous timing adjustment including </w:t>
      </w:r>
      <w:r w:rsidR="00D250AE">
        <w:t xml:space="preserve">the maximum autonomous adjustment </w:t>
      </w:r>
      <w:r>
        <w:t>step size (</w:t>
      </w:r>
      <w:proofErr w:type="spellStart"/>
      <w:r w:rsidR="004D59A5" w:rsidRPr="00B3365C">
        <w:t>Tq</w:t>
      </w:r>
      <w:proofErr w:type="spellEnd"/>
      <w:r>
        <w:t>)</w:t>
      </w:r>
      <w:r w:rsidR="00B835C7">
        <w:t xml:space="preserve">, minimum and maximum adjustment rates. </w:t>
      </w:r>
    </w:p>
    <w:p w14:paraId="67784728" w14:textId="755853A4" w:rsidR="00171FCF" w:rsidRPr="00114FAB" w:rsidRDefault="000F169D" w:rsidP="00114FAB">
      <w:pPr>
        <w:spacing w:before="240"/>
      </w:pPr>
      <w:r w:rsidRPr="00114FAB">
        <w:t xml:space="preserve"> </w:t>
      </w:r>
      <w:r w:rsidR="00B835C7">
        <w:t>In principle t</w:t>
      </w:r>
      <w:r w:rsidRPr="00114FAB">
        <w:t xml:space="preserve">he existing </w:t>
      </w:r>
      <w:r w:rsidR="00D36ABF" w:rsidRPr="00114FAB">
        <w:t>UE timing requirements (</w:t>
      </w:r>
      <w:proofErr w:type="spellStart"/>
      <w:r w:rsidR="00D36ABF" w:rsidRPr="00114FAB">
        <w:t>Te</w:t>
      </w:r>
      <w:proofErr w:type="spellEnd"/>
      <w:r w:rsidR="00D36ABF" w:rsidRPr="00114FAB">
        <w:t xml:space="preserve"> and </w:t>
      </w:r>
      <w:proofErr w:type="spellStart"/>
      <w:r w:rsidR="00D36ABF" w:rsidRPr="00114FAB">
        <w:t>Tq</w:t>
      </w:r>
      <w:proofErr w:type="spellEnd"/>
      <w:r w:rsidR="00D36ABF" w:rsidRPr="00114FAB">
        <w:t xml:space="preserve">) defined in Table 7.1.2-1 and Table 7.1.2.1-1 of section 7.1.2 </w:t>
      </w:r>
      <w:r w:rsidR="00171FCF" w:rsidRPr="00114FAB">
        <w:t xml:space="preserve">in TS 38.133 </w:t>
      </w:r>
      <w:r w:rsidR="00D36ABF" w:rsidRPr="00114FAB">
        <w:t xml:space="preserve">can be reused for IAB. </w:t>
      </w:r>
      <w:r w:rsidR="00B835C7">
        <w:t xml:space="preserve">However, since SSB periodicity for IAB can be longer than 160 </w:t>
      </w:r>
      <w:proofErr w:type="spellStart"/>
      <w:r w:rsidR="00B835C7">
        <w:t>ms</w:t>
      </w:r>
      <w:proofErr w:type="spellEnd"/>
      <w:r w:rsidR="00B835C7">
        <w:t xml:space="preserve"> therefore RAN4 needs to further discuss the condition related to the SSB periodicity for which the </w:t>
      </w:r>
      <w:r w:rsidR="00A17FF8">
        <w:t xml:space="preserve">transmit timing error requirements shall be applicable. </w:t>
      </w:r>
    </w:p>
    <w:p w14:paraId="510F241C" w14:textId="51A9E2D5" w:rsidR="00114FAB" w:rsidRPr="00114FAB" w:rsidRDefault="00A17FF8" w:rsidP="00A17FF8">
      <w:pPr>
        <w:pStyle w:val="Heading2"/>
      </w:pPr>
      <w:r>
        <w:t xml:space="preserve">2.2. </w:t>
      </w:r>
      <w:r w:rsidR="004D59A5" w:rsidRPr="00114FAB">
        <w:t>Timing Advance</w:t>
      </w:r>
    </w:p>
    <w:p w14:paraId="687F78A2" w14:textId="092AFBEB" w:rsidR="00145CBE" w:rsidRPr="00114FAB" w:rsidRDefault="00171FCF" w:rsidP="00104F71">
      <w:pPr>
        <w:spacing w:before="120" w:after="0"/>
      </w:pPr>
      <w:r w:rsidRPr="00114FAB">
        <w:t>The existing timing advance adjustment accuracy requirements defined in Table 7.3.2.2-1 of TS 38.133 can be reused for IAB.</w:t>
      </w:r>
    </w:p>
    <w:p w14:paraId="2B05F637" w14:textId="77777777" w:rsidR="00104F71" w:rsidRDefault="00104F71">
      <w:pPr>
        <w:spacing w:after="0"/>
        <w:rPr>
          <w:rFonts w:ascii="Arial" w:hAnsi="Arial"/>
          <w:sz w:val="36"/>
          <w:highlight w:val="lightGray"/>
          <w:lang w:val="en-US"/>
        </w:rPr>
      </w:pPr>
      <w:r>
        <w:rPr>
          <w:rFonts w:ascii="Arial" w:hAnsi="Arial"/>
          <w:sz w:val="36"/>
          <w:highlight w:val="lightGray"/>
          <w:lang w:val="en-US"/>
        </w:rPr>
        <w:br w:type="page"/>
      </w:r>
    </w:p>
    <w:p w14:paraId="45C1AC25" w14:textId="03A9FAC4" w:rsidR="00CC6F36" w:rsidRPr="00104F71" w:rsidRDefault="00CC6F36" w:rsidP="00104F71">
      <w:pPr>
        <w:keepNext/>
        <w:keepLines/>
        <w:pBdr>
          <w:top w:val="single" w:sz="12" w:space="3" w:color="auto"/>
        </w:pBdr>
        <w:spacing w:before="360" w:after="120"/>
        <w:outlineLvl w:val="0"/>
        <w:rPr>
          <w:sz w:val="36"/>
        </w:rPr>
      </w:pPr>
      <w:r w:rsidRPr="00104F71">
        <w:rPr>
          <w:sz w:val="36"/>
        </w:rPr>
        <w:lastRenderedPageBreak/>
        <w:t>Summary</w:t>
      </w:r>
    </w:p>
    <w:p w14:paraId="6F0D8B05" w14:textId="614FFEB5" w:rsidR="00165483" w:rsidRDefault="00CC6F36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</w:t>
      </w:r>
      <w:r w:rsidR="004D50F4">
        <w:rPr>
          <w:sz w:val="22"/>
          <w:szCs w:val="22"/>
        </w:rPr>
        <w:t xml:space="preserve">have </w:t>
      </w:r>
      <w:r w:rsidR="000F78C5">
        <w:rPr>
          <w:sz w:val="22"/>
          <w:szCs w:val="22"/>
        </w:rPr>
        <w:t xml:space="preserve">further </w:t>
      </w:r>
      <w:r w:rsidR="004D50F4">
        <w:rPr>
          <w:sz w:val="22"/>
          <w:szCs w:val="22"/>
        </w:rPr>
        <w:t>analysed</w:t>
      </w:r>
      <w:r w:rsidR="000F78C5">
        <w:rPr>
          <w:sz w:val="22"/>
          <w:szCs w:val="22"/>
        </w:rPr>
        <w:t xml:space="preserve"> the MT timing related requirem</w:t>
      </w:r>
      <w:r w:rsidR="008B78B1">
        <w:rPr>
          <w:sz w:val="22"/>
          <w:szCs w:val="22"/>
        </w:rPr>
        <w:t>ents</w:t>
      </w:r>
      <w:r w:rsidR="00C4375E" w:rsidRPr="00990C15">
        <w:rPr>
          <w:sz w:val="22"/>
          <w:szCs w:val="22"/>
        </w:rPr>
        <w:t>.</w:t>
      </w:r>
      <w:r w:rsidR="000467E3">
        <w:rPr>
          <w:sz w:val="22"/>
          <w:szCs w:val="22"/>
        </w:rPr>
        <w:t xml:space="preserve"> </w:t>
      </w:r>
      <w:bookmarkStart w:id="3" w:name="_Hlk23953093"/>
      <w:r w:rsidR="000467E3">
        <w:rPr>
          <w:sz w:val="22"/>
          <w:szCs w:val="22"/>
        </w:rPr>
        <w:t>F</w:t>
      </w:r>
      <w:r w:rsidR="00E86FF9">
        <w:rPr>
          <w:sz w:val="22"/>
          <w:szCs w:val="22"/>
        </w:rPr>
        <w:t xml:space="preserve">ollowing </w:t>
      </w:r>
      <w:r w:rsidR="00830921">
        <w:rPr>
          <w:sz w:val="22"/>
          <w:szCs w:val="22"/>
        </w:rPr>
        <w:t xml:space="preserve">are the </w:t>
      </w:r>
      <w:r w:rsidR="000467E3">
        <w:rPr>
          <w:sz w:val="22"/>
          <w:szCs w:val="22"/>
        </w:rPr>
        <w:t xml:space="preserve">main </w:t>
      </w:r>
      <w:r w:rsidR="00D70237">
        <w:rPr>
          <w:sz w:val="22"/>
          <w:szCs w:val="22"/>
        </w:rPr>
        <w:t xml:space="preserve">observation and </w:t>
      </w:r>
      <w:r w:rsidR="00506C4B">
        <w:rPr>
          <w:sz w:val="22"/>
          <w:szCs w:val="22"/>
        </w:rPr>
        <w:t>proposals</w:t>
      </w:r>
      <w:r w:rsidR="00A73BEC" w:rsidRPr="00990C15">
        <w:rPr>
          <w:sz w:val="22"/>
          <w:szCs w:val="22"/>
        </w:rPr>
        <w:t>:</w:t>
      </w:r>
    </w:p>
    <w:p w14:paraId="12A6B6B4" w14:textId="062C65F5" w:rsidR="00D70237" w:rsidRDefault="00D70237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</w:p>
    <w:p w14:paraId="7050272A" w14:textId="6065BDD7" w:rsidR="00D70237" w:rsidRPr="008F6F75" w:rsidRDefault="00D70237" w:rsidP="008F6F75">
      <w:pPr>
        <w:pStyle w:val="ListParagraph"/>
        <w:numPr>
          <w:ilvl w:val="0"/>
          <w:numId w:val="35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8F6F75">
        <w:rPr>
          <w:rFonts w:ascii="Times New Roman" w:hAnsi="Times New Roman"/>
          <w:b/>
          <w:sz w:val="20"/>
        </w:rPr>
        <w:t>Observation # 1:</w:t>
      </w:r>
      <w:r w:rsidR="00600409" w:rsidRPr="008F6F75">
        <w:rPr>
          <w:rFonts w:ascii="Times New Roman" w:hAnsi="Times New Roman"/>
          <w:b/>
          <w:sz w:val="20"/>
        </w:rPr>
        <w:t xml:space="preserve"> </w:t>
      </w:r>
      <w:r w:rsidR="00600409" w:rsidRPr="008F6F75">
        <w:rPr>
          <w:rFonts w:ascii="Times New Roman" w:hAnsi="Times New Roman"/>
          <w:sz w:val="20"/>
        </w:rPr>
        <w:t xml:space="preserve">For IAB the maximum SSB periodicity is longer than SSB periodicity </w:t>
      </w:r>
      <w:r w:rsidR="00461B73" w:rsidRPr="008F6F75">
        <w:rPr>
          <w:rFonts w:ascii="Times New Roman" w:hAnsi="Times New Roman"/>
          <w:sz w:val="20"/>
        </w:rPr>
        <w:t xml:space="preserve">of </w:t>
      </w:r>
      <w:r w:rsidR="00600409" w:rsidRPr="008F6F75">
        <w:rPr>
          <w:rFonts w:ascii="Times New Roman" w:hAnsi="Times New Roman"/>
          <w:sz w:val="20"/>
        </w:rPr>
        <w:t xml:space="preserve">160 </w:t>
      </w:r>
      <w:proofErr w:type="spellStart"/>
      <w:r w:rsidR="00600409" w:rsidRPr="008F6F75">
        <w:rPr>
          <w:rFonts w:ascii="Times New Roman" w:hAnsi="Times New Roman"/>
          <w:sz w:val="20"/>
        </w:rPr>
        <w:t>ms</w:t>
      </w:r>
      <w:proofErr w:type="spellEnd"/>
      <w:r w:rsidR="008F6F75" w:rsidRPr="008F6F75">
        <w:rPr>
          <w:rFonts w:ascii="Times New Roman" w:hAnsi="Times New Roman"/>
          <w:sz w:val="20"/>
        </w:rPr>
        <w:t xml:space="preserve">, </w:t>
      </w:r>
      <w:r w:rsidR="00461B73" w:rsidRPr="008F6F75">
        <w:rPr>
          <w:rFonts w:ascii="Times New Roman" w:hAnsi="Times New Roman"/>
          <w:sz w:val="20"/>
        </w:rPr>
        <w:t xml:space="preserve">which </w:t>
      </w:r>
      <w:r w:rsidR="008F6F75" w:rsidRPr="008F6F75">
        <w:rPr>
          <w:rFonts w:ascii="Times New Roman" w:hAnsi="Times New Roman"/>
          <w:sz w:val="20"/>
        </w:rPr>
        <w:t xml:space="preserve">is required for </w:t>
      </w:r>
      <w:r w:rsidR="00461B73" w:rsidRPr="008F6F75">
        <w:rPr>
          <w:rFonts w:ascii="Times New Roman" w:hAnsi="Times New Roman"/>
          <w:sz w:val="20"/>
        </w:rPr>
        <w:t xml:space="preserve">the UE </w:t>
      </w:r>
      <w:r w:rsidR="008F6F75" w:rsidRPr="008F6F75">
        <w:rPr>
          <w:rFonts w:ascii="Times New Roman" w:hAnsi="Times New Roman"/>
          <w:sz w:val="20"/>
        </w:rPr>
        <w:t xml:space="preserve">to meet the </w:t>
      </w:r>
      <w:r w:rsidR="00461B73" w:rsidRPr="008F6F75">
        <w:rPr>
          <w:rFonts w:ascii="Times New Roman" w:hAnsi="Times New Roman"/>
          <w:sz w:val="20"/>
        </w:rPr>
        <w:t>transmit timing requirements</w:t>
      </w:r>
      <w:r w:rsidR="008F6F75" w:rsidRPr="008F6F75">
        <w:rPr>
          <w:rFonts w:ascii="Times New Roman" w:hAnsi="Times New Roman"/>
          <w:sz w:val="20"/>
        </w:rPr>
        <w:t xml:space="preserve"> in section 7.1.2</w:t>
      </w:r>
      <w:r w:rsidRPr="008F6F75">
        <w:rPr>
          <w:rFonts w:ascii="Times New Roman" w:hAnsi="Times New Roman"/>
          <w:sz w:val="20"/>
        </w:rPr>
        <w:t xml:space="preserve">. </w:t>
      </w:r>
    </w:p>
    <w:p w14:paraId="5F362DB8" w14:textId="13670CA6" w:rsidR="00695237" w:rsidRPr="0030790D" w:rsidRDefault="00060506" w:rsidP="008F6F75">
      <w:pPr>
        <w:pStyle w:val="ListParagraph"/>
        <w:numPr>
          <w:ilvl w:val="0"/>
          <w:numId w:val="35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8F6F75">
        <w:rPr>
          <w:rFonts w:ascii="Times New Roman" w:hAnsi="Times New Roman"/>
          <w:b/>
          <w:sz w:val="20"/>
        </w:rPr>
        <w:t xml:space="preserve">Proposal # </w:t>
      </w:r>
      <w:r w:rsidR="008F6F75" w:rsidRPr="008F6F75">
        <w:rPr>
          <w:rFonts w:ascii="Times New Roman" w:hAnsi="Times New Roman"/>
          <w:b/>
          <w:sz w:val="20"/>
        </w:rPr>
        <w:t>1</w:t>
      </w:r>
      <w:r w:rsidRPr="008F6F75">
        <w:rPr>
          <w:rFonts w:ascii="Times New Roman" w:hAnsi="Times New Roman"/>
          <w:b/>
          <w:sz w:val="20"/>
        </w:rPr>
        <w:t xml:space="preserve">: </w:t>
      </w:r>
      <w:r w:rsidR="008F6F75" w:rsidRPr="008F6F75">
        <w:rPr>
          <w:rFonts w:ascii="Times New Roman" w:hAnsi="Times New Roman"/>
          <w:sz w:val="20"/>
        </w:rPr>
        <w:t xml:space="preserve">In principle the </w:t>
      </w:r>
      <w:r w:rsidR="008F6F75">
        <w:rPr>
          <w:rFonts w:ascii="Times New Roman" w:hAnsi="Times New Roman"/>
          <w:sz w:val="20"/>
        </w:rPr>
        <w:t>existing t</w:t>
      </w:r>
      <w:r w:rsidR="00695237" w:rsidRPr="008F6F75">
        <w:rPr>
          <w:rFonts w:ascii="Times New Roman" w:hAnsi="Times New Roman"/>
          <w:sz w:val="20"/>
        </w:rPr>
        <w:t xml:space="preserve">ransmit timing requirements, </w:t>
      </w:r>
      <w:proofErr w:type="spellStart"/>
      <w:r w:rsidR="00695237" w:rsidRPr="008F6F75">
        <w:rPr>
          <w:rFonts w:ascii="Times New Roman" w:hAnsi="Times New Roman"/>
          <w:sz w:val="20"/>
        </w:rPr>
        <w:t>Te</w:t>
      </w:r>
      <w:proofErr w:type="spellEnd"/>
      <w:r w:rsidR="00695237" w:rsidRPr="008F6F75">
        <w:rPr>
          <w:rFonts w:ascii="Times New Roman" w:hAnsi="Times New Roman"/>
          <w:sz w:val="20"/>
        </w:rPr>
        <w:t xml:space="preserve"> and </w:t>
      </w:r>
      <w:proofErr w:type="spellStart"/>
      <w:r w:rsidR="00695237" w:rsidRPr="008F6F75">
        <w:rPr>
          <w:rFonts w:ascii="Times New Roman" w:hAnsi="Times New Roman"/>
          <w:sz w:val="20"/>
        </w:rPr>
        <w:t>Tq</w:t>
      </w:r>
      <w:proofErr w:type="spellEnd"/>
      <w:r w:rsidR="00E96546" w:rsidRPr="008F6F75">
        <w:rPr>
          <w:rFonts w:ascii="Times New Roman" w:hAnsi="Times New Roman"/>
          <w:sz w:val="20"/>
        </w:rPr>
        <w:t xml:space="preserve">, </w:t>
      </w:r>
      <w:r w:rsidR="00695237" w:rsidRPr="008F6F75">
        <w:rPr>
          <w:rFonts w:ascii="Times New Roman" w:hAnsi="Times New Roman"/>
          <w:sz w:val="20"/>
        </w:rPr>
        <w:t xml:space="preserve">in </w:t>
      </w:r>
      <w:r w:rsidR="00E96546" w:rsidRPr="008F6F75">
        <w:rPr>
          <w:rFonts w:ascii="Times New Roman" w:hAnsi="Times New Roman"/>
          <w:sz w:val="20"/>
        </w:rPr>
        <w:t>Table 7.1.2-1 and Table 7.1.2.1-</w:t>
      </w:r>
      <w:r w:rsidR="00E96546" w:rsidRPr="0030790D">
        <w:rPr>
          <w:rFonts w:ascii="Times New Roman" w:hAnsi="Times New Roman"/>
          <w:sz w:val="20"/>
        </w:rPr>
        <w:t>1 respectively</w:t>
      </w:r>
      <w:r w:rsidR="008F6F75" w:rsidRPr="0030790D">
        <w:rPr>
          <w:rFonts w:ascii="Times New Roman" w:hAnsi="Times New Roman"/>
          <w:sz w:val="20"/>
        </w:rPr>
        <w:t>, can be reused for the IAB-MT. However, the condition o</w:t>
      </w:r>
      <w:r w:rsidR="00EC768D">
        <w:rPr>
          <w:rFonts w:ascii="Times New Roman" w:hAnsi="Times New Roman"/>
          <w:sz w:val="20"/>
        </w:rPr>
        <w:t xml:space="preserve">n how often the </w:t>
      </w:r>
      <w:r w:rsidR="00055E7A" w:rsidRPr="0030790D">
        <w:rPr>
          <w:rFonts w:ascii="Times New Roman" w:hAnsi="Times New Roman"/>
          <w:sz w:val="20"/>
        </w:rPr>
        <w:t>SSB</w:t>
      </w:r>
      <w:r w:rsidR="001D6AEA">
        <w:rPr>
          <w:rFonts w:ascii="Times New Roman" w:hAnsi="Times New Roman"/>
          <w:sz w:val="20"/>
        </w:rPr>
        <w:t xml:space="preserve"> </w:t>
      </w:r>
      <w:proofErr w:type="spellStart"/>
      <w:r w:rsidR="00EC768D">
        <w:rPr>
          <w:rFonts w:ascii="Times New Roman" w:hAnsi="Times New Roman"/>
          <w:sz w:val="20"/>
        </w:rPr>
        <w:t>shoud</w:t>
      </w:r>
      <w:proofErr w:type="spellEnd"/>
      <w:r w:rsidR="00EC768D">
        <w:rPr>
          <w:rFonts w:ascii="Times New Roman" w:hAnsi="Times New Roman"/>
          <w:sz w:val="20"/>
        </w:rPr>
        <w:t xml:space="preserve"> be available at the IAB-MT </w:t>
      </w:r>
      <w:r w:rsidR="00055E7A" w:rsidRPr="0030790D">
        <w:rPr>
          <w:rFonts w:ascii="Times New Roman" w:hAnsi="Times New Roman"/>
          <w:sz w:val="20"/>
        </w:rPr>
        <w:t>for meeting the timing error requirements need further discussion.</w:t>
      </w:r>
    </w:p>
    <w:p w14:paraId="758D5A51" w14:textId="7C9FEBAE" w:rsidR="00695237" w:rsidRPr="0030790D" w:rsidRDefault="00036E6C" w:rsidP="00036E6C">
      <w:pPr>
        <w:pStyle w:val="ListParagraph"/>
        <w:numPr>
          <w:ilvl w:val="0"/>
          <w:numId w:val="35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30790D">
        <w:rPr>
          <w:rFonts w:ascii="Times New Roman" w:hAnsi="Times New Roman"/>
          <w:b/>
          <w:sz w:val="20"/>
        </w:rPr>
        <w:t xml:space="preserve">Proposal # 2: </w:t>
      </w:r>
      <w:r w:rsidRPr="0030790D">
        <w:rPr>
          <w:rFonts w:ascii="Times New Roman" w:hAnsi="Times New Roman"/>
          <w:sz w:val="20"/>
        </w:rPr>
        <w:t xml:space="preserve">The existing </w:t>
      </w:r>
      <w:r w:rsidR="00695237" w:rsidRPr="0030790D">
        <w:rPr>
          <w:rFonts w:ascii="Times New Roman" w:hAnsi="Times New Roman"/>
          <w:sz w:val="20"/>
        </w:rPr>
        <w:t xml:space="preserve">TA </w:t>
      </w:r>
      <w:r w:rsidR="00E96546" w:rsidRPr="0030790D">
        <w:rPr>
          <w:rFonts w:ascii="Times New Roman" w:hAnsi="Times New Roman"/>
          <w:sz w:val="20"/>
        </w:rPr>
        <w:t xml:space="preserve">adjustment </w:t>
      </w:r>
      <w:r w:rsidR="00695237" w:rsidRPr="0030790D">
        <w:rPr>
          <w:rFonts w:ascii="Times New Roman" w:hAnsi="Times New Roman"/>
          <w:sz w:val="20"/>
        </w:rPr>
        <w:t xml:space="preserve">accuracy requirement </w:t>
      </w:r>
      <w:r w:rsidRPr="0030790D">
        <w:rPr>
          <w:rFonts w:ascii="Times New Roman" w:hAnsi="Times New Roman"/>
          <w:sz w:val="20"/>
        </w:rPr>
        <w:t xml:space="preserve">defined </w:t>
      </w:r>
      <w:r w:rsidR="00695237" w:rsidRPr="0030790D">
        <w:rPr>
          <w:rFonts w:ascii="Times New Roman" w:hAnsi="Times New Roman"/>
          <w:sz w:val="20"/>
        </w:rPr>
        <w:t xml:space="preserve">in </w:t>
      </w:r>
      <w:r w:rsidR="00E96546" w:rsidRPr="0030790D">
        <w:rPr>
          <w:rFonts w:ascii="Times New Roman" w:hAnsi="Times New Roman"/>
          <w:sz w:val="20"/>
        </w:rPr>
        <w:t>section 7.3.2.2</w:t>
      </w:r>
      <w:r w:rsidRPr="0030790D">
        <w:rPr>
          <w:rFonts w:ascii="Times New Roman" w:hAnsi="Times New Roman"/>
          <w:sz w:val="20"/>
        </w:rPr>
        <w:t xml:space="preserve"> </w:t>
      </w:r>
      <w:r w:rsidR="00FB55B5" w:rsidRPr="0030790D">
        <w:rPr>
          <w:rFonts w:ascii="Times New Roman" w:hAnsi="Times New Roman"/>
          <w:sz w:val="20"/>
        </w:rPr>
        <w:t xml:space="preserve">can be reused for the IAB-MT. </w:t>
      </w:r>
    </w:p>
    <w:bookmarkEnd w:id="3"/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5027A63F" w14:textId="577B7AB2" w:rsidR="00D223B1" w:rsidRPr="00B80BB3" w:rsidRDefault="00D223B1" w:rsidP="00D223B1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</w:rPr>
      </w:pPr>
      <w:r w:rsidRPr="00B80BB3">
        <w:rPr>
          <w:rFonts w:ascii="Times New Roman" w:hAnsi="Times New Roman"/>
          <w:sz w:val="20"/>
        </w:rPr>
        <w:t>R4-19</w:t>
      </w:r>
      <w:r w:rsidR="00BA2775">
        <w:rPr>
          <w:rFonts w:ascii="Times New Roman" w:hAnsi="Times New Roman"/>
          <w:sz w:val="20"/>
        </w:rPr>
        <w:t>12829</w:t>
      </w:r>
      <w:r w:rsidRPr="00B80BB3">
        <w:rPr>
          <w:rFonts w:ascii="Times New Roman" w:hAnsi="Times New Roman"/>
          <w:sz w:val="20"/>
        </w:rPr>
        <w:t>, “</w:t>
      </w:r>
      <w:r w:rsidR="00BA2775" w:rsidRPr="00BA2775">
        <w:rPr>
          <w:rFonts w:ascii="Times New Roman" w:hAnsi="Times New Roman"/>
          <w:sz w:val="20"/>
          <w:lang w:val="en-GB"/>
        </w:rPr>
        <w:t>Updated WF on IAB RRM Requirements</w:t>
      </w:r>
      <w:r w:rsidRPr="00B80BB3">
        <w:rPr>
          <w:rFonts w:ascii="Times New Roman" w:hAnsi="Times New Roman"/>
          <w:sz w:val="20"/>
        </w:rPr>
        <w:t xml:space="preserve">”, </w:t>
      </w:r>
      <w:r w:rsidR="00BA2775">
        <w:rPr>
          <w:rFonts w:ascii="Times New Roman" w:hAnsi="Times New Roman"/>
          <w:sz w:val="20"/>
        </w:rPr>
        <w:t>Qualcomm</w:t>
      </w:r>
    </w:p>
    <w:sectPr w:rsidR="00D223B1" w:rsidRPr="00B80BB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FF226" w14:textId="77777777" w:rsidR="001831D3" w:rsidRDefault="001831D3">
      <w:r>
        <w:separator/>
      </w:r>
    </w:p>
  </w:endnote>
  <w:endnote w:type="continuationSeparator" w:id="0">
    <w:p w14:paraId="49D9B48F" w14:textId="77777777" w:rsidR="001831D3" w:rsidRDefault="0018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05E2" w14:textId="77777777" w:rsidR="001831D3" w:rsidRDefault="001831D3">
      <w:r>
        <w:separator/>
      </w:r>
    </w:p>
  </w:footnote>
  <w:footnote w:type="continuationSeparator" w:id="0">
    <w:p w14:paraId="5036D494" w14:textId="77777777" w:rsidR="001831D3" w:rsidRDefault="00183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02831"/>
    <w:multiLevelType w:val="hybridMultilevel"/>
    <w:tmpl w:val="4BC2B8C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5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93117F"/>
    <w:multiLevelType w:val="hybridMultilevel"/>
    <w:tmpl w:val="074EA956"/>
    <w:lvl w:ilvl="0" w:tplc="DAF43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58D77A">
      <w:numFmt w:val="none"/>
      <w:lvlText w:val=""/>
      <w:lvlJc w:val="left"/>
      <w:pPr>
        <w:tabs>
          <w:tab w:val="num" w:pos="360"/>
        </w:tabs>
      </w:pPr>
    </w:lvl>
    <w:lvl w:ilvl="2" w:tplc="F1828DE6">
      <w:numFmt w:val="none"/>
      <w:lvlText w:val=""/>
      <w:lvlJc w:val="left"/>
      <w:pPr>
        <w:tabs>
          <w:tab w:val="num" w:pos="360"/>
        </w:tabs>
      </w:pPr>
    </w:lvl>
    <w:lvl w:ilvl="3" w:tplc="57E2D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688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FEE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C6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04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27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CC1CAC"/>
    <w:multiLevelType w:val="hybridMultilevel"/>
    <w:tmpl w:val="428C7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995539"/>
    <w:multiLevelType w:val="hybridMultilevel"/>
    <w:tmpl w:val="7C74D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14" w15:restartNumberingAfterBreak="0">
    <w:nsid w:val="1D672B10"/>
    <w:multiLevelType w:val="hybridMultilevel"/>
    <w:tmpl w:val="6F8A80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68169A"/>
    <w:multiLevelType w:val="hybridMultilevel"/>
    <w:tmpl w:val="AA6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4A7B4D"/>
    <w:multiLevelType w:val="hybridMultilevel"/>
    <w:tmpl w:val="85E62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1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C09DD"/>
    <w:multiLevelType w:val="hybridMultilevel"/>
    <w:tmpl w:val="E55ED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E61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95D37"/>
    <w:multiLevelType w:val="hybridMultilevel"/>
    <w:tmpl w:val="6E0C2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A11F0B"/>
    <w:multiLevelType w:val="hybridMultilevel"/>
    <w:tmpl w:val="64D48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BB7EA8"/>
    <w:multiLevelType w:val="hybridMultilevel"/>
    <w:tmpl w:val="A1EA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697E6A"/>
    <w:multiLevelType w:val="hybridMultilevel"/>
    <w:tmpl w:val="0FDA7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820BB"/>
    <w:multiLevelType w:val="hybridMultilevel"/>
    <w:tmpl w:val="97F2884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47" w:hanging="360"/>
      </w:pPr>
      <w:rPr>
        <w:rFonts w:ascii="Wingdings" w:hAnsi="Wingdings" w:hint="default"/>
      </w:rPr>
    </w:lvl>
  </w:abstractNum>
  <w:abstractNum w:abstractNumId="45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9"/>
  </w:num>
  <w:num w:numId="4">
    <w:abstractNumId w:val="5"/>
  </w:num>
  <w:num w:numId="5">
    <w:abstractNumId w:val="29"/>
  </w:num>
  <w:num w:numId="6">
    <w:abstractNumId w:val="47"/>
  </w:num>
  <w:num w:numId="7">
    <w:abstractNumId w:val="30"/>
  </w:num>
  <w:num w:numId="8">
    <w:abstractNumId w:val="28"/>
  </w:num>
  <w:num w:numId="9">
    <w:abstractNumId w:val="45"/>
  </w:num>
  <w:num w:numId="10">
    <w:abstractNumId w:val="41"/>
  </w:num>
  <w:num w:numId="11">
    <w:abstractNumId w:val="23"/>
  </w:num>
  <w:num w:numId="12">
    <w:abstractNumId w:val="21"/>
  </w:num>
  <w:num w:numId="13">
    <w:abstractNumId w:val="16"/>
  </w:num>
  <w:num w:numId="14">
    <w:abstractNumId w:val="48"/>
  </w:num>
  <w:num w:numId="15">
    <w:abstractNumId w:val="34"/>
  </w:num>
  <w:num w:numId="16">
    <w:abstractNumId w:val="27"/>
  </w:num>
  <w:num w:numId="17">
    <w:abstractNumId w:val="37"/>
  </w:num>
  <w:num w:numId="18">
    <w:abstractNumId w:val="15"/>
  </w:num>
  <w:num w:numId="19">
    <w:abstractNumId w:val="38"/>
  </w:num>
  <w:num w:numId="20">
    <w:abstractNumId w:val="2"/>
  </w:num>
  <w:num w:numId="21">
    <w:abstractNumId w:val="1"/>
  </w:num>
  <w:num w:numId="22">
    <w:abstractNumId w:val="31"/>
  </w:num>
  <w:num w:numId="23">
    <w:abstractNumId w:val="24"/>
  </w:num>
  <w:num w:numId="24">
    <w:abstractNumId w:val="4"/>
  </w:num>
  <w:num w:numId="25">
    <w:abstractNumId w:val="46"/>
  </w:num>
  <w:num w:numId="26">
    <w:abstractNumId w:val="19"/>
  </w:num>
  <w:num w:numId="27">
    <w:abstractNumId w:val="20"/>
  </w:num>
  <w:num w:numId="28">
    <w:abstractNumId w:val="39"/>
  </w:num>
  <w:num w:numId="29">
    <w:abstractNumId w:val="17"/>
  </w:num>
  <w:num w:numId="30">
    <w:abstractNumId w:val="18"/>
  </w:num>
  <w:num w:numId="31">
    <w:abstractNumId w:val="26"/>
  </w:num>
  <w:num w:numId="32">
    <w:abstractNumId w:val="13"/>
  </w:num>
  <w:num w:numId="33">
    <w:abstractNumId w:val="33"/>
  </w:num>
  <w:num w:numId="34">
    <w:abstractNumId w:val="44"/>
  </w:num>
  <w:num w:numId="35">
    <w:abstractNumId w:val="10"/>
  </w:num>
  <w:num w:numId="36">
    <w:abstractNumId w:val="25"/>
  </w:num>
  <w:num w:numId="37">
    <w:abstractNumId w:val="12"/>
  </w:num>
  <w:num w:numId="38">
    <w:abstractNumId w:val="40"/>
  </w:num>
  <w:num w:numId="39">
    <w:abstractNumId w:val="3"/>
  </w:num>
  <w:num w:numId="40">
    <w:abstractNumId w:val="8"/>
  </w:num>
  <w:num w:numId="41">
    <w:abstractNumId w:val="22"/>
  </w:num>
  <w:num w:numId="42">
    <w:abstractNumId w:val="42"/>
  </w:num>
  <w:num w:numId="43">
    <w:abstractNumId w:val="7"/>
  </w:num>
  <w:num w:numId="44">
    <w:abstractNumId w:val="11"/>
  </w:num>
  <w:num w:numId="45">
    <w:abstractNumId w:val="36"/>
  </w:num>
  <w:num w:numId="46">
    <w:abstractNumId w:val="6"/>
  </w:num>
  <w:num w:numId="47">
    <w:abstractNumId w:val="43"/>
  </w:num>
  <w:num w:numId="48">
    <w:abstractNumId w:val="35"/>
  </w:num>
  <w:num w:numId="49">
    <w:abstractNumId w:val="49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F15"/>
    <w:rsid w:val="0003643B"/>
    <w:rsid w:val="00036587"/>
    <w:rsid w:val="00036E6C"/>
    <w:rsid w:val="00037F60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25DC"/>
    <w:rsid w:val="00083A3F"/>
    <w:rsid w:val="00083AA0"/>
    <w:rsid w:val="00084101"/>
    <w:rsid w:val="00085062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5831"/>
    <w:rsid w:val="000B58A1"/>
    <w:rsid w:val="000B5DBE"/>
    <w:rsid w:val="000B5E32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6125"/>
    <w:rsid w:val="000F75F1"/>
    <w:rsid w:val="000F7768"/>
    <w:rsid w:val="000F78C5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6004D"/>
    <w:rsid w:val="00261347"/>
    <w:rsid w:val="00261A22"/>
    <w:rsid w:val="00262029"/>
    <w:rsid w:val="00263B86"/>
    <w:rsid w:val="0026419E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E0F49"/>
    <w:rsid w:val="002E1EE8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90D"/>
    <w:rsid w:val="00307CA4"/>
    <w:rsid w:val="00310823"/>
    <w:rsid w:val="00310A36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47EB2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316D"/>
    <w:rsid w:val="003E34C7"/>
    <w:rsid w:val="003E3DD4"/>
    <w:rsid w:val="003E5D3B"/>
    <w:rsid w:val="003E705F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F61"/>
    <w:rsid w:val="00721BBA"/>
    <w:rsid w:val="00721F6F"/>
    <w:rsid w:val="00721FFE"/>
    <w:rsid w:val="007230E3"/>
    <w:rsid w:val="00723E83"/>
    <w:rsid w:val="00724112"/>
    <w:rsid w:val="00726993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F2E"/>
    <w:rsid w:val="00776328"/>
    <w:rsid w:val="00776E5F"/>
    <w:rsid w:val="007817A5"/>
    <w:rsid w:val="00782036"/>
    <w:rsid w:val="00782254"/>
    <w:rsid w:val="0078320C"/>
    <w:rsid w:val="00783DD5"/>
    <w:rsid w:val="00784537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E91"/>
    <w:rsid w:val="00797756"/>
    <w:rsid w:val="007979D2"/>
    <w:rsid w:val="00797AA9"/>
    <w:rsid w:val="007A0B32"/>
    <w:rsid w:val="007A27FB"/>
    <w:rsid w:val="007A2F5B"/>
    <w:rsid w:val="007A3211"/>
    <w:rsid w:val="007A458A"/>
    <w:rsid w:val="007A4A08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317E"/>
    <w:rsid w:val="009233C5"/>
    <w:rsid w:val="0092453D"/>
    <w:rsid w:val="00924665"/>
    <w:rsid w:val="00924BC8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7FF8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4B77"/>
    <w:rsid w:val="00A8690E"/>
    <w:rsid w:val="00A87366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73CD"/>
    <w:rsid w:val="00B87676"/>
    <w:rsid w:val="00B90669"/>
    <w:rsid w:val="00B90937"/>
    <w:rsid w:val="00B9124A"/>
    <w:rsid w:val="00B91B11"/>
    <w:rsid w:val="00B928C9"/>
    <w:rsid w:val="00B95682"/>
    <w:rsid w:val="00B9655A"/>
    <w:rsid w:val="00B968C8"/>
    <w:rsid w:val="00B96DBA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D22"/>
    <w:rsid w:val="00BE00EC"/>
    <w:rsid w:val="00BE02BD"/>
    <w:rsid w:val="00BE031C"/>
    <w:rsid w:val="00BE0487"/>
    <w:rsid w:val="00BE0FB5"/>
    <w:rsid w:val="00BE1473"/>
    <w:rsid w:val="00BE14F8"/>
    <w:rsid w:val="00BE3C38"/>
    <w:rsid w:val="00BE4232"/>
    <w:rsid w:val="00BE4E66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54BE"/>
    <w:rsid w:val="00BF5659"/>
    <w:rsid w:val="00BF68BB"/>
    <w:rsid w:val="00BF6E24"/>
    <w:rsid w:val="00BF6F62"/>
    <w:rsid w:val="00C00273"/>
    <w:rsid w:val="00C02101"/>
    <w:rsid w:val="00C02768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45"/>
    <w:rsid w:val="00D27016"/>
    <w:rsid w:val="00D279AF"/>
    <w:rsid w:val="00D30117"/>
    <w:rsid w:val="00D30EF7"/>
    <w:rsid w:val="00D317F9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5841"/>
    <w:rsid w:val="00D772B6"/>
    <w:rsid w:val="00D77779"/>
    <w:rsid w:val="00D8045C"/>
    <w:rsid w:val="00D81738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4051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9B4"/>
    <w:rsid w:val="00E75E9F"/>
    <w:rsid w:val="00E77670"/>
    <w:rsid w:val="00E777C8"/>
    <w:rsid w:val="00E77DFC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FF9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F57"/>
    <w:rsid w:val="00EE73A2"/>
    <w:rsid w:val="00EE7D7C"/>
    <w:rsid w:val="00EE7DEA"/>
    <w:rsid w:val="00EE7DF1"/>
    <w:rsid w:val="00EF04A2"/>
    <w:rsid w:val="00EF161C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28A96-2CDE-49A8-9BB6-358A2DC73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397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34</cp:revision>
  <cp:lastPrinted>1899-12-31T23:00:00Z</cp:lastPrinted>
  <dcterms:created xsi:type="dcterms:W3CDTF">2019-11-08T15:37:00Z</dcterms:created>
  <dcterms:modified xsi:type="dcterms:W3CDTF">2019-11-08T16:44:00Z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